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辽宁</w:t>
      </w:r>
      <w:bookmarkStart w:id="0" w:name="_GoBack"/>
      <w:bookmarkEnd w:id="0"/>
      <w:r>
        <w:rPr>
          <w:rFonts w:hint="eastAsia"/>
          <w:b/>
          <w:sz w:val="44"/>
          <w:szCs w:val="44"/>
          <w:lang w:val="en-US" w:eastAsia="zh-CN"/>
        </w:rPr>
        <w:t>人才派遣有限公司2025年面向社会公开招聘</w:t>
      </w:r>
    </w:p>
    <w:p>
      <w:pPr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渔政执法船劳务派遣人员计划信息表</w:t>
      </w:r>
    </w:p>
    <w:tbl>
      <w:tblPr>
        <w:tblStyle w:val="14"/>
        <w:tblpPr w:leftFromText="180" w:rightFromText="180" w:vertAnchor="page" w:horzAnchor="margin" w:tblpY="3655"/>
        <w:tblW w:w="14142" w:type="dxa"/>
        <w:tblInd w:w="-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93"/>
        <w:gridCol w:w="1881"/>
        <w:gridCol w:w="677"/>
        <w:gridCol w:w="993"/>
        <w:gridCol w:w="643"/>
        <w:gridCol w:w="752"/>
        <w:gridCol w:w="1824"/>
        <w:gridCol w:w="4263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岗位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岗位简介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84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招聘条件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招聘方式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工作经历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其他条件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船长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从事渔政执法船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船长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岗位职责工作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 w:bidi="ar"/>
              </w:rPr>
              <w:t>以及辅助渔政检查工作</w:t>
            </w:r>
          </w:p>
        </w:tc>
        <w:tc>
          <w:tcPr>
            <w:tcW w:w="67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中专或高中及以上学历</w:t>
            </w:r>
          </w:p>
        </w:tc>
        <w:tc>
          <w:tcPr>
            <w:tcW w:w="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8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具有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两年以上船长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岗位工作经历</w:t>
            </w:r>
          </w:p>
        </w:tc>
        <w:tc>
          <w:tcPr>
            <w:tcW w:w="42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1.18周岁及以上，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50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周岁以下（19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75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2月20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日以后出生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 w:bidi="ar"/>
              </w:rPr>
              <w:t>）</w:t>
            </w:r>
          </w:p>
          <w:p>
            <w:pPr>
              <w:widowControl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2.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持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有效的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我国渔业主管部门颁发的海船一级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船长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及以上或交通主管部门颁发的沿海航区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一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船长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及以上适任证书。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面试和技</w:t>
            </w:r>
          </w:p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能测试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二副</w:t>
            </w:r>
          </w:p>
        </w:tc>
        <w:tc>
          <w:tcPr>
            <w:tcW w:w="18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从事渔政执法船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二副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岗位职责工作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 w:bidi="ar"/>
              </w:rPr>
              <w:t>以及辅助渔政检查工作</w:t>
            </w:r>
          </w:p>
        </w:tc>
        <w:tc>
          <w:tcPr>
            <w:tcW w:w="6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中专或高中及以上学历</w:t>
            </w:r>
          </w:p>
        </w:tc>
        <w:tc>
          <w:tcPr>
            <w:tcW w:w="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8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具有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两年以上助理船副或二副岗位工作经历</w:t>
            </w:r>
          </w:p>
        </w:tc>
        <w:tc>
          <w:tcPr>
            <w:tcW w:w="42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1.18周岁及以上，40周岁以下（198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2月20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日以后出生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 w:bidi="ar"/>
              </w:rPr>
              <w:t>）</w:t>
            </w:r>
          </w:p>
          <w:p>
            <w:pPr>
              <w:pStyle w:val="20"/>
              <w:numPr>
                <w:ilvl w:val="0"/>
                <w:numId w:val="7"/>
              </w:numP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持</w:t>
            </w:r>
            <w:r>
              <w:rPr>
                <w:rFonts w:hint="eastAsia" w:hAnsi="宋体"/>
                <w:color w:val="000000"/>
                <w:kern w:val="0"/>
                <w:sz w:val="24"/>
                <w:lang w:val="en-US" w:eastAsia="zh-CN" w:bidi="ar"/>
              </w:rPr>
              <w:t>有效的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我国渔业主管部门颁发的海船</w:t>
            </w:r>
            <w:r>
              <w:rPr>
                <w:rFonts w:hint="eastAsia" w:hAnsi="宋体"/>
                <w:color w:val="000000"/>
                <w:kern w:val="0"/>
                <w:sz w:val="24"/>
                <w:lang w:val="en-US" w:eastAsia="zh-CN" w:bidi="ar"/>
              </w:rPr>
              <w:t>助理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船副及以上或交通主管部门颁发的沿海航区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一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等</w:t>
            </w:r>
            <w:r>
              <w:rPr>
                <w:rFonts w:hint="eastAsia" w:hAnsi="宋体"/>
                <w:color w:val="000000"/>
                <w:kern w:val="0"/>
                <w:sz w:val="24"/>
                <w:lang w:val="en-US" w:eastAsia="zh-CN" w:bidi="ar"/>
              </w:rPr>
              <w:t>二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副及以上适任证书</w:t>
            </w:r>
          </w:p>
          <w:p>
            <w:pPr>
              <w:pStyle w:val="20"/>
              <w:numPr>
                <w:ilvl w:val="0"/>
                <w:numId w:val="7"/>
              </w:numP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持A类游艇驾驶证优先</w:t>
            </w:r>
            <w:r>
              <w:rPr>
                <w:rFonts w:hint="eastAsia" w:hAnsi="宋体"/>
                <w:color w:val="000000"/>
                <w:kern w:val="0"/>
                <w:sz w:val="24"/>
                <w:lang w:val="en-US" w:eastAsia="zh-CN" w:bidi="ar"/>
              </w:rPr>
              <w:t>考虑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面试和技</w:t>
            </w:r>
          </w:p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能测试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三副</w:t>
            </w:r>
          </w:p>
        </w:tc>
        <w:tc>
          <w:tcPr>
            <w:tcW w:w="188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从事渔政执法船三副岗位职责工作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 w:bidi="ar"/>
              </w:rPr>
              <w:t>以及辅助渔政检查工作</w:t>
            </w:r>
          </w:p>
        </w:tc>
        <w:tc>
          <w:tcPr>
            <w:tcW w:w="67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中专或高中及以上学历</w:t>
            </w:r>
          </w:p>
        </w:tc>
        <w:tc>
          <w:tcPr>
            <w:tcW w:w="64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82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具有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两年以上助理船副或三副岗位工作经历</w:t>
            </w:r>
          </w:p>
        </w:tc>
        <w:tc>
          <w:tcPr>
            <w:tcW w:w="426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1.18周岁及以上，40周岁以下（198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2月20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日以后出生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 w:bidi="ar"/>
              </w:rPr>
              <w:t>）</w:t>
            </w:r>
          </w:p>
          <w:p>
            <w:pPr>
              <w:widowControl/>
              <w:numPr>
                <w:ilvl w:val="0"/>
                <w:numId w:val="8"/>
              </w:numP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持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有效的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我国渔业主管部门颁发的海船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助理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船副及以上或交通主管部门颁发的沿海航区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一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等三副及以上适任证书。</w:t>
            </w:r>
          </w:p>
          <w:p>
            <w:pPr>
              <w:widowControl/>
              <w:numPr>
                <w:ilvl w:val="0"/>
                <w:numId w:val="8"/>
              </w:numP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持A类游艇驾驶证优先</w:t>
            </w:r>
            <w:r>
              <w:rPr>
                <w:rFonts w:hint="eastAsia" w:hAnsi="宋体"/>
                <w:color w:val="000000"/>
                <w:kern w:val="0"/>
                <w:sz w:val="24"/>
                <w:lang w:val="en-US" w:eastAsia="zh-CN" w:bidi="ar"/>
              </w:rPr>
              <w:t>考虑</w:t>
            </w:r>
          </w:p>
          <w:p>
            <w:pPr>
              <w:widowControl/>
              <w:numPr>
                <w:ilvl w:val="0"/>
                <w:numId w:val="8"/>
              </w:numP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持CAAC或ASFC无人机执照优先考虑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面试和技</w:t>
            </w:r>
          </w:p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能测试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大管轮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从事渔政执法船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大管轮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岗位职责工作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 w:bidi="ar"/>
              </w:rPr>
              <w:t>以及辅助渔政检查工作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中专或高中及以上学历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具有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两年以上大管轮岗位工作经历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1.18周岁及以上，40周岁以下（198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2月20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日以后出生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 w:bidi="ar"/>
              </w:rPr>
              <w:t>）</w:t>
            </w:r>
          </w:p>
          <w:p>
            <w:pPr>
              <w:widowControl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2.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持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有效的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我国渔业主管部门颁发的海船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一级管轮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及以上或交通主管部门颁发的沿海航区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一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大管轮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及以上适任证书。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面试和技</w:t>
            </w:r>
          </w:p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能测试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二管轮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从事渔政执法船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二管轮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岗位职责工作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 w:bidi="ar"/>
              </w:rPr>
              <w:t>以及辅助渔政检查工作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中专或高中及以上学历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具有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两年以上助理管轮或二管轮工作经历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1.18周岁及以上，40周岁以下（198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2月20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日以后出生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 w:bidi="ar"/>
              </w:rPr>
              <w:t>）</w:t>
            </w:r>
          </w:p>
          <w:p>
            <w:pPr>
              <w:widowControl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2.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持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有效的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我国渔业主管部门颁发的海船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助理管轮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及以上或交通主管部门颁发的沿海航区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一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二管轮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及以上适任证书。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面试和技</w:t>
            </w:r>
          </w:p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能测试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三管轮</w:t>
            </w:r>
          </w:p>
        </w:tc>
        <w:tc>
          <w:tcPr>
            <w:tcW w:w="18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从事渔政执法船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三管轮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岗位职责工作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 w:bidi="ar"/>
              </w:rPr>
              <w:t>以及辅助渔政检查工作</w:t>
            </w:r>
          </w:p>
        </w:tc>
        <w:tc>
          <w:tcPr>
            <w:tcW w:w="6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中专或高中及以上学历</w:t>
            </w:r>
          </w:p>
        </w:tc>
        <w:tc>
          <w:tcPr>
            <w:tcW w:w="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8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具有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两年以上助理管轮或三管轮岗位工作经历</w:t>
            </w:r>
          </w:p>
        </w:tc>
        <w:tc>
          <w:tcPr>
            <w:tcW w:w="42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1.18周岁及以上，40周岁以下（198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2月20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日以后出生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 w:bidi="ar"/>
              </w:rPr>
              <w:t>）</w:t>
            </w:r>
          </w:p>
          <w:p>
            <w:pPr>
              <w:widowControl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2.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持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有效的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我国渔业主管部门颁发的海船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助理管轮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及以上或交通主管部门颁发的沿海航区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一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三管轮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及以上适任证书。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面试和技</w:t>
            </w:r>
          </w:p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能测试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电机员</w:t>
            </w:r>
          </w:p>
        </w:tc>
        <w:tc>
          <w:tcPr>
            <w:tcW w:w="188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从事渔政执法船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电机员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岗位职责工作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 w:bidi="ar"/>
              </w:rPr>
              <w:t>以及辅助渔政检查工作</w:t>
            </w:r>
          </w:p>
        </w:tc>
        <w:tc>
          <w:tcPr>
            <w:tcW w:w="67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中专或高中及以上学历</w:t>
            </w:r>
          </w:p>
        </w:tc>
        <w:tc>
          <w:tcPr>
            <w:tcW w:w="64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82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具有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船电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岗位工作经历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优先</w:t>
            </w:r>
          </w:p>
        </w:tc>
        <w:tc>
          <w:tcPr>
            <w:tcW w:w="426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1.18周岁及以上，40周岁以下（198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2月20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日以后出生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 w:bidi="ar"/>
              </w:rPr>
              <w:t>）</w:t>
            </w:r>
          </w:p>
          <w:p>
            <w:pPr>
              <w:widowControl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2.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持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有效的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我国渔业主管部门颁发的海船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电机员证书（优先）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面试和技</w:t>
            </w:r>
          </w:p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能测试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厨师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从事渔政执法船厨师岗位职责工作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 w:bidi="ar"/>
              </w:rPr>
              <w:t>以及辅助渔政检查工作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中专或高中及以上学历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/>
                <w:sz w:val="24"/>
                <w:szCs w:val="24"/>
                <w:lang w:bidi="ar"/>
              </w:rPr>
            </w:pPr>
            <w:r>
              <w:rPr>
                <w:rFonts w:hint="eastAsia" w:hAnsi="宋体"/>
                <w:sz w:val="24"/>
                <w:szCs w:val="24"/>
                <w:lang w:bidi="ar"/>
              </w:rPr>
              <w:t>持有初级及以上技能等级证书</w:t>
            </w:r>
            <w:r>
              <w:rPr>
                <w:rFonts w:hint="eastAsia" w:hAnsi="宋体"/>
                <w:sz w:val="24"/>
                <w:szCs w:val="24"/>
                <w:lang w:val="en-US" w:eastAsia="zh-CN" w:bidi="ar"/>
              </w:rPr>
              <w:t>优先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1.18周岁及以上，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55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周岁以下（19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70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2月20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日以后出生）</w:t>
            </w:r>
          </w:p>
          <w:p>
            <w:pPr>
              <w:widowControl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2.持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有效的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我国渔业主管部门颁发的普通船员证书。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面试和技</w:t>
            </w:r>
          </w:p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能测试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水手</w:t>
            </w:r>
          </w:p>
        </w:tc>
        <w:tc>
          <w:tcPr>
            <w:tcW w:w="18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从事渔政执法船水手岗位职责工作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 w:bidi="ar"/>
              </w:rPr>
              <w:t>以及辅助渔政检查工作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6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中专或高中及以上学历</w:t>
            </w:r>
          </w:p>
        </w:tc>
        <w:tc>
          <w:tcPr>
            <w:tcW w:w="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8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具有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水手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岗位工作经历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优先</w:t>
            </w:r>
          </w:p>
        </w:tc>
        <w:tc>
          <w:tcPr>
            <w:tcW w:w="42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1.18周岁及以上，40周岁以下（198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2月20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日以后出生）</w:t>
            </w:r>
          </w:p>
          <w:p>
            <w:pPr>
              <w:widowControl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2.持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有效的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我国渔业主管部门颁发的普通船员证书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或国家相关部门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颁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发的水手证书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面试和技</w:t>
            </w:r>
          </w:p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能测试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机工</w:t>
            </w:r>
          </w:p>
        </w:tc>
        <w:tc>
          <w:tcPr>
            <w:tcW w:w="188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从事渔政执法船机工岗位职责工作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 w:bidi="ar"/>
              </w:rPr>
              <w:t>以及辅助渔政检查工作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中专或高中及以上学历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82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具有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机工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岗位工作经历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优先</w:t>
            </w:r>
          </w:p>
        </w:tc>
        <w:tc>
          <w:tcPr>
            <w:tcW w:w="426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1.18周岁及以上，40周岁以下（198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2月20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日以后出生）</w:t>
            </w:r>
          </w:p>
          <w:p>
            <w:pPr>
              <w:widowControl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2.持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有效的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我国渔业主管部门颁发的普通船员证书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或国家相关部门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颁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发的机工证书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面试和技</w:t>
            </w:r>
          </w:p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能测试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792BE4"/>
    <w:multiLevelType w:val="multilevel"/>
    <w:tmpl w:val="98792BE4"/>
    <w:lvl w:ilvl="0" w:tentative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">
    <w:nsid w:val="BAF7BE2F"/>
    <w:multiLevelType w:val="singleLevel"/>
    <w:tmpl w:val="BAF7BE2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6F009DB"/>
    <w:multiLevelType w:val="singleLevel"/>
    <w:tmpl w:val="D6F009D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D4D5CF8"/>
    <w:multiLevelType w:val="multilevel"/>
    <w:tmpl w:val="DD4D5CF8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eastAsia="微软雅黑"/>
        <w:sz w:val="28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4">
    <w:nsid w:val="098CE039"/>
    <w:multiLevelType w:val="singleLevel"/>
    <w:tmpl w:val="098CE039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33DB13EB"/>
    <w:multiLevelType w:val="multilevel"/>
    <w:tmpl w:val="33DB13EB"/>
    <w:lvl w:ilvl="0" w:tentative="0">
      <w:start w:val="1"/>
      <w:numFmt w:val="decimal"/>
      <w:lvlText w:val="%1)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Letter"/>
      <w:pStyle w:val="6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Roman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Roman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Letter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6">
    <w:nsid w:val="6CEB98E3"/>
    <w:multiLevelType w:val="singleLevel"/>
    <w:tmpl w:val="6CEB98E3"/>
    <w:lvl w:ilvl="0" w:tentative="0">
      <w:start w:val="1"/>
      <w:numFmt w:val="decimal"/>
      <w:pStyle w:val="4"/>
      <w:lvlText w:val="(%1)"/>
      <w:lvlJc w:val="left"/>
      <w:pPr>
        <w:tabs>
          <w:tab w:val="left" w:pos="567"/>
        </w:tabs>
        <w:ind w:left="425" w:firstLine="142"/>
      </w:pPr>
      <w:rPr>
        <w:rFonts w:hint="default"/>
      </w:rPr>
    </w:lvl>
  </w:abstractNum>
  <w:abstractNum w:abstractNumId="7">
    <w:nsid w:val="74FC6DFB"/>
    <w:multiLevelType w:val="singleLevel"/>
    <w:tmpl w:val="74FC6DFB"/>
    <w:lvl w:ilvl="0" w:tentative="0">
      <w:start w:val="1"/>
      <w:numFmt w:val="decimalEnclosedCircleChinese"/>
      <w:pStyle w:val="5"/>
      <w:suff w:val="nothing"/>
      <w:lvlText w:val="%1　"/>
      <w:lvlJc w:val="left"/>
      <w:pPr>
        <w:tabs>
          <w:tab w:val="left" w:pos="0"/>
        </w:tabs>
        <w:ind w:left="0" w:leftChars="0" w:firstLine="853" w:firstLineChars="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ZDdmNzQ0YTBkNzhhMzAwYmUzZjdhOWVjZjhkNzgifQ=="/>
  </w:docVars>
  <w:rsids>
    <w:rsidRoot w:val="46E15F87"/>
    <w:rsid w:val="00171B43"/>
    <w:rsid w:val="032F4AC3"/>
    <w:rsid w:val="0429413F"/>
    <w:rsid w:val="06832581"/>
    <w:rsid w:val="06FA56A2"/>
    <w:rsid w:val="07040256"/>
    <w:rsid w:val="07AA5EF1"/>
    <w:rsid w:val="07D324A4"/>
    <w:rsid w:val="07EC73CF"/>
    <w:rsid w:val="07EE50E1"/>
    <w:rsid w:val="09045744"/>
    <w:rsid w:val="09474723"/>
    <w:rsid w:val="09AA2287"/>
    <w:rsid w:val="09CE3C00"/>
    <w:rsid w:val="0B4930E8"/>
    <w:rsid w:val="0BA74D8F"/>
    <w:rsid w:val="0BFA0BD3"/>
    <w:rsid w:val="0C421E8C"/>
    <w:rsid w:val="0C86568C"/>
    <w:rsid w:val="0CDC319E"/>
    <w:rsid w:val="0D0E0F82"/>
    <w:rsid w:val="0D136775"/>
    <w:rsid w:val="0E243595"/>
    <w:rsid w:val="0E99098F"/>
    <w:rsid w:val="0F8B4CE8"/>
    <w:rsid w:val="10900DB0"/>
    <w:rsid w:val="1130772D"/>
    <w:rsid w:val="128A5ECC"/>
    <w:rsid w:val="12FA186D"/>
    <w:rsid w:val="16915F52"/>
    <w:rsid w:val="16932DAA"/>
    <w:rsid w:val="16F5189F"/>
    <w:rsid w:val="178C416E"/>
    <w:rsid w:val="189B7788"/>
    <w:rsid w:val="18E41086"/>
    <w:rsid w:val="19D95618"/>
    <w:rsid w:val="19E07056"/>
    <w:rsid w:val="19E95DE3"/>
    <w:rsid w:val="1A885044"/>
    <w:rsid w:val="1AA77DE7"/>
    <w:rsid w:val="1B297878"/>
    <w:rsid w:val="1EB07961"/>
    <w:rsid w:val="1EDD5D97"/>
    <w:rsid w:val="1F7B470C"/>
    <w:rsid w:val="1FDA52D2"/>
    <w:rsid w:val="1FEA0B90"/>
    <w:rsid w:val="20235623"/>
    <w:rsid w:val="20BC3A71"/>
    <w:rsid w:val="217424B3"/>
    <w:rsid w:val="217A702F"/>
    <w:rsid w:val="21A21700"/>
    <w:rsid w:val="21A555BE"/>
    <w:rsid w:val="21CE7D40"/>
    <w:rsid w:val="224B494C"/>
    <w:rsid w:val="25F21B45"/>
    <w:rsid w:val="2611587F"/>
    <w:rsid w:val="262C1C69"/>
    <w:rsid w:val="26AD134D"/>
    <w:rsid w:val="276F037A"/>
    <w:rsid w:val="28D95146"/>
    <w:rsid w:val="29557F72"/>
    <w:rsid w:val="2ABE086A"/>
    <w:rsid w:val="2BC30B44"/>
    <w:rsid w:val="2BFF7666"/>
    <w:rsid w:val="2C4C4267"/>
    <w:rsid w:val="2CE0346E"/>
    <w:rsid w:val="2D385C2C"/>
    <w:rsid w:val="2EAF619E"/>
    <w:rsid w:val="2EF5028A"/>
    <w:rsid w:val="2F171F0F"/>
    <w:rsid w:val="2F2D37C7"/>
    <w:rsid w:val="2F985B7E"/>
    <w:rsid w:val="3009773D"/>
    <w:rsid w:val="31C819C9"/>
    <w:rsid w:val="325A7673"/>
    <w:rsid w:val="32FF1A9B"/>
    <w:rsid w:val="343919EF"/>
    <w:rsid w:val="35781E78"/>
    <w:rsid w:val="35CE4DD0"/>
    <w:rsid w:val="36DB6F1C"/>
    <w:rsid w:val="37937AF4"/>
    <w:rsid w:val="384446AF"/>
    <w:rsid w:val="385D7DA4"/>
    <w:rsid w:val="38934400"/>
    <w:rsid w:val="39667472"/>
    <w:rsid w:val="39F81CF9"/>
    <w:rsid w:val="3A2155F3"/>
    <w:rsid w:val="3A581CFB"/>
    <w:rsid w:val="3AB53EA2"/>
    <w:rsid w:val="3C9C6199"/>
    <w:rsid w:val="3D23548F"/>
    <w:rsid w:val="3EB53588"/>
    <w:rsid w:val="40204281"/>
    <w:rsid w:val="40C62329"/>
    <w:rsid w:val="4316143B"/>
    <w:rsid w:val="43823379"/>
    <w:rsid w:val="444D22DC"/>
    <w:rsid w:val="44BB27AC"/>
    <w:rsid w:val="46213B48"/>
    <w:rsid w:val="46330B07"/>
    <w:rsid w:val="466705D1"/>
    <w:rsid w:val="46D75FCA"/>
    <w:rsid w:val="46DD0EA4"/>
    <w:rsid w:val="46E15F87"/>
    <w:rsid w:val="48653D97"/>
    <w:rsid w:val="49873298"/>
    <w:rsid w:val="49A413EC"/>
    <w:rsid w:val="4A995073"/>
    <w:rsid w:val="4C8E72A0"/>
    <w:rsid w:val="4D532086"/>
    <w:rsid w:val="4D562B0F"/>
    <w:rsid w:val="4D9D7E1B"/>
    <w:rsid w:val="4E6D00B6"/>
    <w:rsid w:val="4F9325B4"/>
    <w:rsid w:val="521C0134"/>
    <w:rsid w:val="52217969"/>
    <w:rsid w:val="525924F1"/>
    <w:rsid w:val="52A83CD4"/>
    <w:rsid w:val="536C544C"/>
    <w:rsid w:val="5379604F"/>
    <w:rsid w:val="552733FC"/>
    <w:rsid w:val="55E156F7"/>
    <w:rsid w:val="561B69D0"/>
    <w:rsid w:val="57A03542"/>
    <w:rsid w:val="584E448B"/>
    <w:rsid w:val="58BF746B"/>
    <w:rsid w:val="58FB73D6"/>
    <w:rsid w:val="597E4984"/>
    <w:rsid w:val="59BE0EAE"/>
    <w:rsid w:val="5AC53422"/>
    <w:rsid w:val="5B150CF9"/>
    <w:rsid w:val="5B2D358D"/>
    <w:rsid w:val="5BC4406A"/>
    <w:rsid w:val="5DE81F07"/>
    <w:rsid w:val="5EFA03E5"/>
    <w:rsid w:val="5FA94EFD"/>
    <w:rsid w:val="5FEE238E"/>
    <w:rsid w:val="6195472D"/>
    <w:rsid w:val="61B033A5"/>
    <w:rsid w:val="622B0707"/>
    <w:rsid w:val="625815FE"/>
    <w:rsid w:val="62C60314"/>
    <w:rsid w:val="630A5099"/>
    <w:rsid w:val="658D431F"/>
    <w:rsid w:val="65972DFC"/>
    <w:rsid w:val="66075454"/>
    <w:rsid w:val="665C6B52"/>
    <w:rsid w:val="66AF3FED"/>
    <w:rsid w:val="66C304F7"/>
    <w:rsid w:val="678025EB"/>
    <w:rsid w:val="67C56C27"/>
    <w:rsid w:val="67EC7E29"/>
    <w:rsid w:val="68AD5093"/>
    <w:rsid w:val="6997732C"/>
    <w:rsid w:val="6AFF6BBA"/>
    <w:rsid w:val="6B5A3D03"/>
    <w:rsid w:val="6B7808B6"/>
    <w:rsid w:val="6C6F7DCF"/>
    <w:rsid w:val="6D5D2923"/>
    <w:rsid w:val="6E1858C7"/>
    <w:rsid w:val="6E6934BB"/>
    <w:rsid w:val="6E7314F3"/>
    <w:rsid w:val="6EC60F8F"/>
    <w:rsid w:val="6FAE373A"/>
    <w:rsid w:val="7036247B"/>
    <w:rsid w:val="70456BC4"/>
    <w:rsid w:val="70907E6A"/>
    <w:rsid w:val="7113730F"/>
    <w:rsid w:val="715F63FD"/>
    <w:rsid w:val="723510A9"/>
    <w:rsid w:val="72AA5C12"/>
    <w:rsid w:val="72DA0709"/>
    <w:rsid w:val="730C6926"/>
    <w:rsid w:val="74370445"/>
    <w:rsid w:val="74B97F51"/>
    <w:rsid w:val="74D752F2"/>
    <w:rsid w:val="75116093"/>
    <w:rsid w:val="753D297C"/>
    <w:rsid w:val="77BF56A2"/>
    <w:rsid w:val="78E10B56"/>
    <w:rsid w:val="7A376099"/>
    <w:rsid w:val="7A4E5306"/>
    <w:rsid w:val="7B657452"/>
    <w:rsid w:val="7C373171"/>
    <w:rsid w:val="7C9779C1"/>
    <w:rsid w:val="7CC81FBB"/>
    <w:rsid w:val="7D2000AB"/>
    <w:rsid w:val="7D405FA2"/>
    <w:rsid w:val="7DAB011C"/>
    <w:rsid w:val="7E8665E0"/>
    <w:rsid w:val="7F4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outlineLvl w:val="0"/>
    </w:pPr>
    <w:rPr>
      <w:rFonts w:ascii="Arial" w:hAnsi="Arial" w:eastAsia="宋体" w:cs="Arial"/>
      <w:b/>
      <w:snapToGrid w:val="0"/>
      <w:color w:val="000000"/>
      <w:kern w:val="44"/>
      <w:sz w:val="36"/>
      <w:szCs w:val="21"/>
      <w:lang w:eastAsia="en-US"/>
    </w:rPr>
  </w:style>
  <w:style w:type="paragraph" w:styleId="3">
    <w:name w:val="heading 2"/>
    <w:next w:val="1"/>
    <w:link w:val="16"/>
    <w:autoRedefine/>
    <w:semiHidden/>
    <w:unhideWhenUsed/>
    <w:qFormat/>
    <w:uiPriority w:val="0"/>
    <w:pPr>
      <w:keepNext w:val="0"/>
      <w:keepLines w:val="0"/>
      <w:widowControl w:val="0"/>
      <w:numPr>
        <w:ilvl w:val="1"/>
        <w:numId w:val="2"/>
      </w:numPr>
      <w:tabs>
        <w:tab w:val="left" w:pos="0"/>
      </w:tabs>
      <w:autoSpaceDE w:val="0"/>
      <w:autoSpaceDN w:val="0"/>
      <w:spacing w:beforeLines="0" w:beforeAutospacing="0" w:afterLines="0" w:afterAutospacing="0" w:line="360" w:lineRule="auto"/>
      <w:ind w:left="0" w:firstLine="723" w:firstLineChars="200"/>
      <w:jc w:val="left"/>
      <w:outlineLvl w:val="1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paragraph" w:styleId="4">
    <w:name w:val="heading 3"/>
    <w:basedOn w:val="1"/>
    <w:next w:val="1"/>
    <w:link w:val="19"/>
    <w:autoRedefine/>
    <w:semiHidden/>
    <w:unhideWhenUsed/>
    <w:qFormat/>
    <w:uiPriority w:val="0"/>
    <w:pPr>
      <w:keepNext/>
      <w:keepLines/>
      <w:numPr>
        <w:ilvl w:val="0"/>
        <w:numId w:val="3"/>
      </w:numPr>
      <w:tabs>
        <w:tab w:val="left" w:pos="0"/>
        <w:tab w:val="left" w:pos="1134"/>
      </w:tabs>
      <w:kinsoku/>
      <w:spacing w:beforeLines="0" w:beforeAutospacing="0" w:afterLines="0" w:afterAutospacing="0" w:line="360" w:lineRule="auto"/>
      <w:ind w:left="425" w:firstLine="425" w:firstLineChars="0"/>
      <w:jc w:val="both"/>
      <w:outlineLvl w:val="2"/>
    </w:pPr>
    <w:rPr>
      <w:rFonts w:asciiTheme="minorAscii" w:hAnsiTheme="minorAscii" w:cstheme="minorBidi"/>
      <w:snapToGrid w:val="0"/>
      <w:color w:val="000000"/>
      <w:kern w:val="0"/>
      <w:sz w:val="30"/>
      <w:szCs w:val="24"/>
      <w:lang w:eastAsia="en-US"/>
    </w:rPr>
  </w:style>
  <w:style w:type="paragraph" w:styleId="5">
    <w:name w:val="heading 4"/>
    <w:basedOn w:val="1"/>
    <w:next w:val="1"/>
    <w:link w:val="17"/>
    <w:autoRedefine/>
    <w:semiHidden/>
    <w:unhideWhenUsed/>
    <w:qFormat/>
    <w:uiPriority w:val="0"/>
    <w:pPr>
      <w:keepNext w:val="0"/>
      <w:keepLines/>
      <w:numPr>
        <w:ilvl w:val="0"/>
        <w:numId w:val="4"/>
      </w:numPr>
      <w:spacing w:beforeLines="0" w:beforeAutospacing="0" w:afterLines="0" w:afterAutospacing="0" w:line="240" w:lineRule="auto"/>
      <w:ind w:firstLine="565" w:firstLineChars="0"/>
      <w:outlineLvl w:val="3"/>
    </w:pPr>
    <w:rPr>
      <w:rFonts w:ascii="Arial" w:hAnsi="Arial" w:cs="Times New Roman"/>
      <w:snapToGrid w:val="0"/>
      <w:color w:val="000000"/>
      <w:kern w:val="0"/>
      <w:sz w:val="30"/>
      <w:szCs w:val="24"/>
      <w:lang w:eastAsia="en-US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 w:val="0"/>
      <w:keepLines w:val="0"/>
      <w:numPr>
        <w:ilvl w:val="2"/>
        <w:numId w:val="5"/>
      </w:numPr>
      <w:tabs>
        <w:tab w:val="left" w:pos="0"/>
        <w:tab w:val="clear" w:pos="1260"/>
      </w:tabs>
      <w:autoSpaceDE w:val="0"/>
      <w:autoSpaceDN w:val="0"/>
      <w:spacing w:beforeLines="0" w:beforeAutospacing="0" w:afterLines="0" w:afterAutospacing="0" w:line="360" w:lineRule="auto"/>
      <w:ind w:left="0" w:leftChars="0" w:firstLine="0" w:firstLineChars="0"/>
      <w:outlineLvl w:val="4"/>
    </w:pPr>
    <w:rPr>
      <w:rFonts w:ascii="Arial" w:hAnsi="Arial" w:cs="Arial"/>
      <w:snapToGrid w:val="0"/>
      <w:color w:val="000000"/>
      <w:kern w:val="0"/>
      <w:sz w:val="30"/>
      <w:szCs w:val="21"/>
      <w:lang w:eastAsia="en-US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6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6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6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6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12">
    <w:name w:val="toa heading"/>
    <w:basedOn w:val="1"/>
    <w:next w:val="1"/>
    <w:autoRedefine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13">
    <w:name w:val="Body Text"/>
    <w:basedOn w:val="1"/>
    <w:autoRedefine/>
    <w:qFormat/>
    <w:uiPriority w:val="0"/>
    <w:pPr>
      <w:spacing w:after="120" w:afterLines="0" w:afterAutospacing="0"/>
    </w:pPr>
  </w:style>
  <w:style w:type="character" w:customStyle="1" w:styleId="16">
    <w:name w:val="标题 2 Char"/>
    <w:link w:val="3"/>
    <w:autoRedefine/>
    <w:qFormat/>
    <w:uiPriority w:val="0"/>
    <w:rPr>
      <w:rFonts w:ascii="Arial" w:hAnsi="Arial" w:eastAsia="宋体" w:cs="Times New Roman"/>
      <w:b/>
      <w:sz w:val="32"/>
      <w:szCs w:val="24"/>
    </w:rPr>
  </w:style>
  <w:style w:type="character" w:customStyle="1" w:styleId="17">
    <w:name w:val="标题 4 Char"/>
    <w:link w:val="5"/>
    <w:autoRedefine/>
    <w:qFormat/>
    <w:uiPriority w:val="0"/>
    <w:rPr>
      <w:rFonts w:ascii="Arial" w:hAnsi="Arial" w:eastAsia="宋体" w:cs="Times New Roman"/>
      <w:snapToGrid w:val="0"/>
      <w:color w:val="000000"/>
      <w:kern w:val="0"/>
      <w:sz w:val="30"/>
      <w:szCs w:val="24"/>
      <w:lang w:eastAsia="en-US"/>
    </w:rPr>
  </w:style>
  <w:style w:type="character" w:customStyle="1" w:styleId="18">
    <w:name w:val="标题 1 Char"/>
    <w:link w:val="2"/>
    <w:autoRedefine/>
    <w:qFormat/>
    <w:uiPriority w:val="0"/>
    <w:rPr>
      <w:rFonts w:ascii="Arial" w:hAnsi="Arial" w:eastAsia="宋体" w:cs="Arial"/>
      <w:b/>
      <w:snapToGrid w:val="0"/>
      <w:color w:val="000000"/>
      <w:kern w:val="44"/>
      <w:sz w:val="32"/>
      <w:szCs w:val="21"/>
      <w:lang w:eastAsia="en-US"/>
    </w:rPr>
  </w:style>
  <w:style w:type="character" w:customStyle="1" w:styleId="19">
    <w:name w:val="标题 3 Char"/>
    <w:link w:val="4"/>
    <w:autoRedefine/>
    <w:qFormat/>
    <w:uiPriority w:val="0"/>
    <w:rPr>
      <w:rFonts w:ascii="宋体" w:hAnsi="宋体" w:eastAsia="宋体" w:cstheme="minorBidi"/>
      <w:snapToGrid w:val="0"/>
      <w:color w:val="000000"/>
      <w:kern w:val="0"/>
      <w:sz w:val="30"/>
      <w:szCs w:val="24"/>
      <w:lang w:eastAsia="en-US"/>
    </w:rPr>
  </w:style>
  <w:style w:type="paragraph" w:customStyle="1" w:styleId="20">
    <w:name w:val="纯文本1"/>
    <w:basedOn w:val="1"/>
    <w:autoRedefine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2025-02-21T01:33:00Z</dcterms:created>
  <dc:creator>微信用户</dc:creator>
  <cp:lastModifiedBy>微信用户</cp:lastModifiedBy>
  <dcterms:modified xsi:type="dcterms:W3CDTF">2025-02-21T01:34:31Z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3E4F3FA22E7B4A67831D15D9A4B784C8_11</vt:lpwstr>
  </property>
</Properties>
</file>